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16.2.0.0 -->
  <w:background w:color="ffffff">
    <v:background id="_x0000_s1025" filled="t" fillcolor="white"/>
  </w:background>
  <w:body>
    <w:p>
      <w:pPr>
        <w:spacing w:before="0" w:after="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 xml:space="preserve">                               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ab/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ab/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ab/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ab/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ab/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ab/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ab/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ab/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>12-1715/2025</w:t>
      </w:r>
    </w:p>
    <w:p>
      <w:pPr>
        <w:spacing w:before="0" w:after="0"/>
        <w:ind w:firstLine="567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>Р Е Ш Е Н И Е</w:t>
      </w:r>
    </w:p>
    <w:p>
      <w:pPr>
        <w:spacing w:before="0" w:after="0"/>
        <w:ind w:firstLine="584"/>
        <w:jc w:val="center"/>
        <w:rPr>
          <w:rStyle w:val="DefaultParagraphFont"/>
          <w:sz w:val="28"/>
          <w:szCs w:val="28"/>
        </w:rPr>
      </w:pPr>
      <w:r>
        <w:rPr>
          <w:rStyle w:val="cat-Addressgrp-0rplc-0"/>
          <w:rFonts w:ascii="Times New Roman" w:eastAsia="Times New Roman" w:hAnsi="Times New Roman" w:cs="Times New Roman"/>
          <w:sz w:val="28"/>
          <w:szCs w:val="28"/>
          <w:highlight w:val="none"/>
        </w:rPr>
        <w:t>адрес</w:t>
      </w:r>
      <w:r>
        <w:rPr>
          <w:rStyle w:val="DefaultParagraphFont"/>
          <w:rFonts w:ascii="Times New Roman" w:eastAsia="Times New Roman" w:hAnsi="Times New Roman" w:cs="Times New Roman"/>
          <w:sz w:val="28"/>
          <w:szCs w:val="28"/>
          <w:highlight w:val="none"/>
        </w:rPr>
        <w:tab/>
      </w:r>
      <w:r>
        <w:rPr>
          <w:rStyle w:val="DefaultParagraphFont"/>
          <w:rFonts w:ascii="Times New Roman" w:eastAsia="Times New Roman" w:hAnsi="Times New Roman" w:cs="Times New Roman"/>
          <w:sz w:val="28"/>
          <w:szCs w:val="28"/>
          <w:highlight w:val="none"/>
        </w:rPr>
        <w:tab/>
      </w:r>
      <w:r>
        <w:rPr>
          <w:rStyle w:val="DefaultParagraphFont"/>
          <w:rFonts w:ascii="Times New Roman" w:eastAsia="Times New Roman" w:hAnsi="Times New Roman" w:cs="Times New Roman"/>
          <w:sz w:val="28"/>
          <w:szCs w:val="28"/>
          <w:highlight w:val="none"/>
        </w:rPr>
        <w:tab/>
      </w:r>
      <w:r>
        <w:rPr>
          <w:rStyle w:val="DefaultParagraphFont"/>
          <w:rFonts w:ascii="Times New Roman" w:eastAsia="Times New Roman" w:hAnsi="Times New Roman" w:cs="Times New Roman"/>
          <w:sz w:val="28"/>
          <w:szCs w:val="28"/>
          <w:highlight w:val="none"/>
        </w:rPr>
        <w:tab/>
      </w:r>
      <w:r>
        <w:rPr>
          <w:rStyle w:val="DefaultParagraphFont"/>
          <w:rFonts w:ascii="Times New Roman" w:eastAsia="Times New Roman" w:hAnsi="Times New Roman" w:cs="Times New Roman"/>
          <w:sz w:val="28"/>
          <w:szCs w:val="28"/>
          <w:highlight w:val="none"/>
        </w:rPr>
        <w:tab/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 xml:space="preserve">                            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>августа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 xml:space="preserve"> 2025 года</w:t>
      </w:r>
    </w:p>
    <w:p>
      <w:pPr>
        <w:spacing w:before="0" w:after="0"/>
        <w:jc w:val="both"/>
        <w:rPr>
          <w:sz w:val="28"/>
          <w:szCs w:val="28"/>
        </w:rPr>
      </w:pPr>
    </w:p>
    <w:p>
      <w:pPr>
        <w:widowControl w:val="0"/>
        <w:spacing w:before="0" w:after="0"/>
        <w:ind w:left="23" w:right="62" w:firstLine="561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 xml:space="preserve">Судья Дорогомиловского районного суда </w:t>
      </w:r>
      <w:r>
        <w:rPr>
          <w:rStyle w:val="cat-Addressgrp-1rplc-1"/>
          <w:rFonts w:ascii="Times New Roman" w:eastAsia="Times New Roman" w:hAnsi="Times New Roman" w:cs="Times New Roman"/>
          <w:sz w:val="28"/>
          <w:szCs w:val="28"/>
          <w:highlight w:val="none"/>
        </w:rPr>
        <w:t>адрес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 xml:space="preserve"> Кинашева Ю.Е., рассмотрев в открытом судебном заседании жалобу 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>"ОБЩЕСТВО С ОГРАНИЧЕННОЙ ОТВЕТСТВЕННОСТЬЮ "НОВЫЕ ТРАНСПОРТНЫЕ СИСТЕМЫ"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 xml:space="preserve">, на постановление должностного лица 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>ГКУ АМПП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 xml:space="preserve"> от 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>7 мая 2025 года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 xml:space="preserve"> №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>0355431010125050701000597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 xml:space="preserve"> по ч. 2 ст. 8.14 КоАП </w:t>
      </w:r>
      <w:r>
        <w:rPr>
          <w:rStyle w:val="cat-Addressgrp-0rplc-3"/>
          <w:rFonts w:ascii="Times New Roman" w:eastAsia="Times New Roman" w:hAnsi="Times New Roman" w:cs="Times New Roman"/>
          <w:sz w:val="28"/>
          <w:szCs w:val="28"/>
          <w:highlight w:val="none"/>
        </w:rPr>
        <w:t>адрес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 xml:space="preserve"> в отношении 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>"ОБЩЕСТВО С ОГРАНИЧЕННОЙ ОТВЕТСТВЕННОСТЬЮ "НОВЫЕ ТРАНСПОРТНЫЕ СИСТЕМЫ"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 xml:space="preserve">, </w:t>
      </w:r>
    </w:p>
    <w:p>
      <w:pPr>
        <w:widowControl w:val="0"/>
        <w:spacing w:before="0" w:after="0"/>
        <w:ind w:left="23" w:right="62" w:firstLine="561"/>
        <w:jc w:val="both"/>
        <w:rPr>
          <w:sz w:val="28"/>
          <w:szCs w:val="28"/>
        </w:rPr>
      </w:pP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ab/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ab/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ab/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ab/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 xml:space="preserve">        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>У С Т А Н О В И Л:</w:t>
      </w:r>
    </w:p>
    <w:p>
      <w:pPr>
        <w:spacing w:before="0" w:after="0"/>
        <w:jc w:val="both"/>
        <w:rPr>
          <w:sz w:val="28"/>
          <w:szCs w:val="28"/>
        </w:rPr>
      </w:pP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 xml:space="preserve">Постановлением должностного лица Государственного казенного учреждения </w:t>
      </w:r>
      <w:r>
        <w:rPr>
          <w:rStyle w:val="cat-Addressgrp-1rplc-4"/>
          <w:rFonts w:ascii="Times New Roman" w:eastAsia="Times New Roman" w:hAnsi="Times New Roman" w:cs="Times New Roman"/>
          <w:sz w:val="28"/>
          <w:szCs w:val="28"/>
          <w:highlight w:val="none"/>
        </w:rPr>
        <w:t>адрес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 xml:space="preserve"> «Администратор Московского парковочного пространства» от 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>7 мая 2025 года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>"ОБЩЕСТВО С ОГРАНИЧЕННОЙ ОТВЕТСТВЕННОСТЬЮ "НОВЫЕ ТРАНСПОРТНЫЕ СИСТЕМЫ"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 xml:space="preserve"> (далее - заявитель) 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>признано виновным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 xml:space="preserve"> в совершении административного правонарушения предусмотренного пунктом 2 статьи 8.14 Кодекса Москвы об административных правонарушениях, и 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>подвергнуто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 xml:space="preserve"> административному наказанию в виде административного штрафа в размере </w:t>
      </w:r>
      <w:r>
        <w:rPr>
          <w:rStyle w:val="cat-Sumgrp-5rplc-5"/>
          <w:rFonts w:ascii="Times New Roman" w:eastAsia="Times New Roman" w:hAnsi="Times New Roman" w:cs="Times New Roman"/>
          <w:sz w:val="28"/>
          <w:szCs w:val="28"/>
          <w:highlight w:val="none"/>
        </w:rPr>
        <w:t>сумма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>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>Не согласившись с указанным постановлением должностного лица, заявитель обратился в суд с жалобой, в которой просит его отменить и прекратить производства по делу об административном правонарушении.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>В судебном заседании заявитель не явился, извещен о дате, времени и месте судебного заседания надлежащим образом.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 xml:space="preserve">Суд, изучив доводы жалобы, исследовав письменные материалы дела, приходит к выводу об отмене 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>состоявшегося по делу постановления должностного лица по следующим основаниям.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 xml:space="preserve">Частью 2 ст. 8.14 Кодекса </w:t>
      </w:r>
      <w:r>
        <w:rPr>
          <w:rStyle w:val="cat-Addressgrp-0rplc-6"/>
          <w:rFonts w:ascii="Times New Roman" w:eastAsia="Times New Roman" w:hAnsi="Times New Roman" w:cs="Times New Roman"/>
          <w:sz w:val="28"/>
          <w:szCs w:val="28"/>
          <w:highlight w:val="none"/>
        </w:rPr>
        <w:t>адрес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 xml:space="preserve"> об административных правонарушениях предусмотрена ответственность за неуплату за размещение транспортного средства на платной городской парковке.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 xml:space="preserve">Согласно примечанию к указанной норме, под городской парковкой в настоящей статье следует понимать объект благоустройства </w:t>
      </w:r>
      <w:r>
        <w:rPr>
          <w:rStyle w:val="cat-Addressgrp-1rplc-7"/>
          <w:rFonts w:ascii="Times New Roman" w:eastAsia="Times New Roman" w:hAnsi="Times New Roman" w:cs="Times New Roman"/>
          <w:sz w:val="28"/>
          <w:szCs w:val="28"/>
          <w:highlight w:val="none"/>
        </w:rPr>
        <w:t>адрес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 xml:space="preserve">, представляющий собой специально обозначенное, обустроенное и оборудованное место, являющееся частью автомобильной дороги и (или) примыкающее к проезжей части и (или) тротуару, обочине, эстакаде или мосту либо являющееся частью 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>подэстакадных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 xml:space="preserve"> или подмостовых пространств, площадей и иных объектов улично-дорожной сети, находящихся в собственности </w:t>
      </w:r>
      <w:r>
        <w:rPr>
          <w:rStyle w:val="cat-Addressgrp-1rplc-8"/>
          <w:rFonts w:ascii="Times New Roman" w:eastAsia="Times New Roman" w:hAnsi="Times New Roman" w:cs="Times New Roman"/>
          <w:sz w:val="28"/>
          <w:szCs w:val="28"/>
          <w:highlight w:val="none"/>
        </w:rPr>
        <w:t>адрес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>, и предназначенное для организованной стоянки транспортных средств на платной основе или без взимания платы по решению Правительства Москвы.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 xml:space="preserve">Согласно пункту п.2.4 Правил пользования платными городскими парковками и размещения на них транспортных средств, а также порядка оплаты за размещение транспортных средств на платных городских парковках, утвержденных Приказом Департамента транспорта и развития дорожно-транспортной инфраструктуры </w:t>
      </w:r>
      <w:r>
        <w:rPr>
          <w:rStyle w:val="cat-Addressgrp-1rplc-9"/>
          <w:rFonts w:ascii="Times New Roman" w:eastAsia="Times New Roman" w:hAnsi="Times New Roman" w:cs="Times New Roman"/>
          <w:sz w:val="28"/>
          <w:szCs w:val="28"/>
          <w:highlight w:val="none"/>
        </w:rPr>
        <w:t>адрес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 xml:space="preserve"> от 01.08.2019 №61-02-343/9 "Об установлении размера платы за пользование платными городскими парковками и утверждении правил пользования платными городскими парковками и размещения на них транспортных средств, а также порядка 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>оплаты за размещение транспортных средств на платных городских парковках" лицо, размещающее транспортное средство на парковочном месте платной городской парковки, обязано в течение пятнадцати минут с момента въезда на парковочное место начать парковочную сессию путем осуществления оплаты за размещение транспортного средства на платной городской парковке одним из способов, указанных в пунктах 2.3.1 - 2.3.2 настоящих Правил.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 xml:space="preserve">Из материалов дела об административном правонарушении следует, что 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>7 апреля 2025 г., в 8 часов 48 минут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 xml:space="preserve"> по адресу: 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 xml:space="preserve">Парковка №5027 (1) </w:t>
      </w:r>
      <w:r>
        <w:rPr>
          <w:rStyle w:val="cat-Addressgrp-2rplc-10"/>
          <w:rFonts w:ascii="Times New Roman" w:eastAsia="Times New Roman" w:hAnsi="Times New Roman" w:cs="Times New Roman"/>
          <w:sz w:val="28"/>
          <w:szCs w:val="28"/>
          <w:highlight w:val="none"/>
        </w:rPr>
        <w:t>адрес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 xml:space="preserve">, </w:t>
      </w:r>
      <w:r>
        <w:rPr>
          <w:rStyle w:val="cat-Addressgrp-0rplc-11"/>
          <w:rFonts w:ascii="Times New Roman" w:eastAsia="Times New Roman" w:hAnsi="Times New Roman" w:cs="Times New Roman"/>
          <w:sz w:val="28"/>
          <w:szCs w:val="28"/>
          <w:highlight w:val="none"/>
        </w:rPr>
        <w:t>адрес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>, транспортное средство марки «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>БЕЛДЖИ X50 DA41KE5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>г.р.з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>X475PT797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 xml:space="preserve">, собственником которого является 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>"ОБЩЕСТВО С ОГРАНИЧЕННОЙ ОТВЕТСТВЕННОСТЬЮ "НОВЫЕ ТРАНСПОРТНЫЕ СИСТЕМЫ"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 xml:space="preserve"> размещено на платной городской парковке без осуществления оплаты в нарушение требований п. 2.4 Правил пользования платными городскими парковками и размещения на них транспортных средств, а также порядка оплаты за размещение транспортных средств на платных городских парковках, утвержденных Приказом Департамента транспорта и развития дорожно-транспортной инфраструктуры </w:t>
      </w:r>
      <w:r>
        <w:rPr>
          <w:rStyle w:val="cat-Addressgrp-1rplc-12"/>
          <w:rFonts w:ascii="Times New Roman" w:eastAsia="Times New Roman" w:hAnsi="Times New Roman" w:cs="Times New Roman"/>
          <w:sz w:val="28"/>
          <w:szCs w:val="28"/>
          <w:highlight w:val="none"/>
        </w:rPr>
        <w:t>адрес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 xml:space="preserve"> от 01.08.2019 №61-02-343/9 "Об установлении размера платы за пользование платными городскими парковками и утверждении правил пользования платными городскими парковками и размещения на них транспортных средств, а также порядка оплаты за размещение транспортных средств на платных городских парковках".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 xml:space="preserve">Согласно постановлению должностного лица указанное административное правонарушение зафиксировано работающим в автоматическом режиме специальным техническим средством фиксации административных правонарушений, имеющим функцию фотосъемки, АПК 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>ПаркНет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 xml:space="preserve">-М, поверенным до 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>18.02.2026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 xml:space="preserve"> г.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 xml:space="preserve">На основании данных, полученных в результате работы названного комплекса, 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>"ОБЩЕСТВО С ОГРАНИЧЕННОЙ ОТВЕТСТВЕННОСТЬЮ "НОВЫЕ ТРАНСПОРТНЫЕ СИСТЕМЫ"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>привлечено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 xml:space="preserve"> к административной ответственности без составления протокола об административном правонарушении.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 xml:space="preserve">Однако, с привлечением 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>"ОБЩЕСТВО С ОГРАНИЧЕННОЙ ОТВЕТСТВЕННОСТЬЮ "НОВЫЕ ТРАНСПОРТНЫЕ СИСТЕМЫ"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 xml:space="preserve"> к административной ответственности согласиться нельзя по следующим основаниям.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 xml:space="preserve">Согласно ст.2.6.1 КРФоАП к административной ответственности за административные правонарушения в области дорожного движения и административные правонарушения в области благоустройства территории, предусмотренные законами субъектов Российской Федерации, совершенные с использованием транспортных средств, в случае фиксации этих административных правонарушений работающими в автоматическом режиме специальными техническими средствами, имеющими функции фото- и киносъемки, видеозаписи, или средствами фото- и киносъемки, видеозаписи привлекаются собственники (владельцы) транспортных средств. 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>При этом в силу ст.1.5 КРФоАП лицо, привлекаемое к административной ответственности, за правонарушение, зафиксированное работающим в автоматическом режиме специальным техническим средством, имеющим функции фото- и киносъёмки, видеозаписи, обязано доказать свою невиновность.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 xml:space="preserve">В соответствии с ч.3 ст.28.6 КРФоАП, случае выявления административного правонарушения, предусмотренного главой 12 настоящего Кодекса, или в области благоустройства территории, предусмотренного законом субъекта Российской Федерации, либо собственником или иным владельцем земельного участка либо 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>другого объекта недвижимости, зафиксированных с применением работающих в автоматическом режиме специальных технических средств, имеющих функции фото- и киносъемки, видеозаписи, или средств фото- и киносъемки, видеозаписи, протокол об административном правонарушении не составляется, а постановление по делу об административном правонарушении выносится без участия лица, в отношении которого возбуждено дело об административном правонарушении, и оформляется в порядке, предусмотренном ст.29.10 настоящего Кодекса. Экземпляры постановления по делу об административном правонарушении и материалов, полученных с применением работающих в автоматическом режиме специальных технических средств, имеющих функции фото- и киносъемки, видеозаписи, или средств фото- и киносъемки, видеозаписи, направляются лицу, в отношении которого возбуждено дело об административном правонарушении, по почте заказным почтовым отправлением в форме копии постановления на бумажном носителе, предусмотренной ч.7 ст.29.10 настоящего Кодекса, или в форме электронного документа, подписанного усиленной квалифицированной электронной подписью уполномоченного должностного лица, с использованием Единого портала государственных и муниципальных услуг с учетом Правил оказания услуг почтовой связи в течение трех дней со дня вынесения указанного постановления. Указанные экземпляр постановления в форме электронного документа либо информация, содержащаяся в постановлении, также могут быть направлены лицу, в отношении которого возбуждено дело об административном правонарушении, при условии регистрации такого лица в единой системе идентификации и аутентификации и наличия согласия такого лица на получение указанных в настоящей части постановления либо информации с использованием иных средств информационных технологий, включая региональные порталы государственных и муниципальных услуг, и (или) с использованием подвижной радиотелефонной связи.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>В соответствии с разъяснениями Верховного Суда Российской Федерации, содержащимися в пункте 26 Постановления Пленума от 25 июня 2019 года № 20 «О некоторых вопросах, возникающих в судебной практике при рассмотрении дел об административных правонарушениях, предусмотренных главой 12 КРФоАП», статьей 2.6.1, частью 3 статьи 28.6 КРФоАП установлен особый порядок привлечения к административной ответственности за административные правонарушения в области дорожного движения при их фиксации работающими в автоматическом режиме специальными техническими средствами, имеющими функции фото- и киносъемки, видеозаписи, либо работающими в автоматическом режиме средствами фото- и киносъемки, видеозаписи (далее - технические средства, работающие в автоматическом режиме). В указанных случаях протокол об административном правонарушении не составляется, постановление по делу об административном правонарушении выносится без участия собственника (владельца) транспортного средства и оформляется в порядке, предусмотренном статьей 29.10 КРФоАП.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>При этом под автоматическим режимом следует понимать работу соответствующего технического средства без какого-либо непосредственного воздействия на него человека, когда такое средство размещено в установленном порядке в стационарном положении либо на движущемся по утвержденному маршруту транспортном средстве, осуществляет фиксацию в зоне своего обзора всех административных правонарушений, для выявления которых оно предназначено, независимо от усмотрения того или иного лица.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>С учетом того, что событие административного правонарушения характеризуется, в том числе, местом и временем его совершения, материалы, формируемые техническими средствами, работающими в автоматическом режиме, должны содержать указанную информацию.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>При этом технические средства, работающие в автоматическом режиме, должны быть сертифицированы, в частности, в качестве средства измерения, иметь действующее свидетельство о метрологической поверке и применяться в соответствии с документами, регламентирующими порядок применения этих средств. В описании типа средства измерения должны быть определены метрологические характеристики, раскрыт алгоритм работы программного обеспечения по выявлению и фиксации административного правонарушения, определен перечень выявляемых правонарушений. В случае возникновения в ходе рассмотрения жалобы (протеста) на постановление о назначении административного наказания за правонарушение, выявленное и зафиксированное работающим в автоматическом режиме техническим средством, сомнений в корректности работы такого технического средства, в том числе в связи с доводами жалобы (протеста), судья вправе истребовать документы, содержащие указанные выше сведения.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>С учетом этого, если правонарушение было зафиксировано с помощью технических средств, которые не работали в автоматическом режиме, либо с использованием других технических средств (например, телефона, видеокамеры, видеорегистратора), то в данном случае особый порядок привлечения к административной ответственности не применяется, а должностным лицом согласно части 1 статьи 28.6 КРФоАП выносится постановление по делу об административном правонарушении, либо составляется протокол об административном правонарушении в отношении водителя транспортного средства на основании части 1 статьи 28.2 КРФоАП, либо выносится определение о возбуждении дела об административном правонарушении и проведении административного расследования в порядке, предусмотренном статьей 28.7 КРФоАП. Полученные с использованием названных технических средств материалы фото- и киносъемки, видеозаписи при составлении протокола об административном правонарушении могут быть приобщены к материалам дела в качестве доказательств совершения административного правонарушения, подлежащих оценке по правилам статьи 26.11 КРФоАП.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 xml:space="preserve">Между тем, в представленных материалах дела отсутствуют сведения о том, что работающее в автоматическом режиме средство фотосъемки АПК 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>ПаркНет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>-М функционировало без какого-либо непосредственного воздействия на него человека, либо оно было размещено в установленном порядке в стационарном положении либо на движущемся по утвержденному маршруту транспортном средстве, и осуществляло фиксацию в зоне своего обзора всех административных правонарушений, для выявления которых оно предназначено, независимо от усмотрения того или иного лица.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 xml:space="preserve">Таким образом, в отношении 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>"ОБЩЕСТВО С ОГРАНИЧЕННОЙ ОТВЕТСТВЕННОСТЬЮ "НОВЫЕ ТРАНСПОРТНЫЕ СИСТЕМЫ"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 xml:space="preserve"> не должен был быть применен предусмотренный статьей 2.6.1, частью 3 статьи 28.6 КРФоАП особый порядок привлечения к административной ответственности за административные правонарушения при их фиксации техническими средствами, работающими в автоматическом режиме, а должностным лицом согласно части 1 статьи 28.6 КРФоАП в отношении него должно было быть вынесено постановление по делу об административном правонарушении, либо составлен протокол об административном правонарушении на основании части 1 статьи 28.2 КРФоАП, либо вынесено 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 xml:space="preserve">определение о возбуждении дела об административном правонарушении и проведении административного расследования в порядке, предусмотренном статьей 28.7 КРФоАП, а фотоматериалы, полученные с использованием работающего в автоматическом режиме средства фотосъемки 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 xml:space="preserve">АПК 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>ПаркНет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>-М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>, должны были быть использованы в качестве одного из доказательств совершения административного правонарушения.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>Ввиду того, что сотрудником административного органа постановление по делу об административном правонарушении в порядке ч.1 ст.28.6 КРФоАП не выносилось и не был составлен протокол об административном правонарушении, нарушен порядок привлечения к административной ответственности, установленный действующим законодательством.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>Указанные нарушения являются существенными, так как не позволили всесторонне, полно и объективно рассмотреть дело об административном правонарушении. Возможность устранения этих недостатков отсутствует.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 xml:space="preserve">В силу положений </w:t>
      </w:r>
      <w:r>
        <w:rPr>
          <w:rFonts w:ascii="Times New Roman" w:eastAsia="Times New Roman" w:hAnsi="Times New Roman" w:cs="Times New Roman"/>
          <w:sz w:val="28"/>
          <w:szCs w:val="28"/>
        </w:rPr>
        <w:fldChar w:fldCharType="begin"/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instrText xml:space="preserve"> HYPERLINK "consultantplus://offline/ref=8D937C5EFEA560FCE0D68EA610FED1C45B1A283FC2F77B566FA01C7B44146AFB348E2953B3786B974F8C24C21ECCF52AAFDD4952ED5DA3B4M7S1H" </w:instrText>
      </w:r>
      <w:r>
        <w:rPr>
          <w:rFonts w:ascii="Times New Roman" w:eastAsia="Times New Roman" w:hAnsi="Times New Roman" w:cs="Times New Roman"/>
          <w:sz w:val="28"/>
          <w:szCs w:val="28"/>
        </w:rPr>
        <w:fldChar w:fldCharType="separate"/>
      </w:r>
      <w:r>
        <w:rPr>
          <w:rFonts w:ascii="Times New Roman" w:eastAsia="Times New Roman" w:hAnsi="Times New Roman" w:cs="Times New Roman"/>
          <w:color w:val="0000EE"/>
          <w:sz w:val="28"/>
          <w:szCs w:val="28"/>
          <w:highlight w:val="none"/>
        </w:rPr>
        <w:t>частей 1</w:t>
      </w:r>
      <w:r>
        <w:rPr>
          <w:rFonts w:ascii="Times New Roman" w:eastAsia="Times New Roman" w:hAnsi="Times New Roman" w:cs="Times New Roman"/>
          <w:color w:val="0000EE"/>
          <w:sz w:val="28"/>
          <w:szCs w:val="28"/>
        </w:rPr>
        <w:fldChar w:fldCharType="end"/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 xml:space="preserve"> и </w:t>
      </w:r>
      <w:r>
        <w:rPr>
          <w:rFonts w:ascii="Times New Roman" w:eastAsia="Times New Roman" w:hAnsi="Times New Roman" w:cs="Times New Roman"/>
          <w:sz w:val="28"/>
          <w:szCs w:val="28"/>
        </w:rPr>
        <w:fldChar w:fldCharType="begin"/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instrText xml:space="preserve"> HYPERLINK "consultantplus://offline/ref=8D937C5EFEA560FCE0D68EA610FED1C45B1A283FC2F77B566FA01C7B44146AFB348E2953B3786B96468C24C21ECCF52AAFDD4952ED5DA3B4M7S1H" </w:instrText>
      </w:r>
      <w:r>
        <w:rPr>
          <w:rFonts w:ascii="Times New Roman" w:eastAsia="Times New Roman" w:hAnsi="Times New Roman" w:cs="Times New Roman"/>
          <w:sz w:val="28"/>
          <w:szCs w:val="28"/>
        </w:rPr>
        <w:fldChar w:fldCharType="separate"/>
      </w:r>
      <w:r>
        <w:rPr>
          <w:rFonts w:ascii="Times New Roman" w:eastAsia="Times New Roman" w:hAnsi="Times New Roman" w:cs="Times New Roman"/>
          <w:color w:val="0000EE"/>
          <w:sz w:val="28"/>
          <w:szCs w:val="28"/>
          <w:highlight w:val="none"/>
        </w:rPr>
        <w:t>4 статьи 1.5</w:t>
      </w:r>
      <w:r>
        <w:rPr>
          <w:rFonts w:ascii="Times New Roman" w:eastAsia="Times New Roman" w:hAnsi="Times New Roman" w:cs="Times New Roman"/>
          <w:color w:val="0000EE"/>
          <w:sz w:val="28"/>
          <w:szCs w:val="28"/>
        </w:rPr>
        <w:fldChar w:fldCharType="end"/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 xml:space="preserve"> Кодекса Российской Федерации об административных правонарушениях лицо подлежит административной ответственности только за те административные правонарушения, в отношении которых установлена его вина. Неустранимые сомнения в виновности лица, привлекаемого к административной ответственности, толкуются в пользу этого лица.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 xml:space="preserve">При таких обстоятельствах постановление должностного лица, вынесенное в отношении 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>"ОБЩЕСТВО С ОГРАНИЧЕННОЙ ОТВЕТСТВЕННОСТЬЮ "НОВЫЕ ТРАНСПОРТНЫЕ СИСТЕМЫ"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 xml:space="preserve"> по делу об административном правонарушении, предусмотренном 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 xml:space="preserve">ч. 2 ст. 8.14 КоАП </w:t>
      </w:r>
      <w:r>
        <w:rPr>
          <w:rStyle w:val="cat-Addressgrp-0rplc-13"/>
          <w:rFonts w:ascii="Times New Roman" w:eastAsia="Times New Roman" w:hAnsi="Times New Roman" w:cs="Times New Roman"/>
          <w:sz w:val="28"/>
          <w:szCs w:val="28"/>
          <w:highlight w:val="none"/>
        </w:rPr>
        <w:t>адрес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>, подлежит отмене.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>Исходя из положений п.3 ч.1 ст.30.7 КРФоАП по результатам рассмотрения жалобы на постановление по делу об административном правонарушении выносится в том числе решение об отмене постановления и о прекращении производства по делу при наличии хотя бы одного из обстоятельств, предусмотренных статьями 2.9, 24.5 настоящего Кодекса, а также при недоказанности обстоятельств, на основании которых было вынесено постановление.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 xml:space="preserve">С учетом изложенного, производство по делу об административном правонарушении, предусмотренном 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 xml:space="preserve">ч. 2 ст. 8.14 КоАП </w:t>
      </w:r>
      <w:r>
        <w:rPr>
          <w:rStyle w:val="cat-Addressgrp-0rplc-14"/>
          <w:rFonts w:ascii="Times New Roman" w:eastAsia="Times New Roman" w:hAnsi="Times New Roman" w:cs="Times New Roman"/>
          <w:sz w:val="28"/>
          <w:szCs w:val="28"/>
          <w:highlight w:val="none"/>
        </w:rPr>
        <w:t>адрес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 xml:space="preserve">, в отношении 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>"ОБЩЕСТВО С ОГРАНИЧЕННОЙ ОТВЕТСТВЕННОСТЬЮ "НОВЫЕ ТРАНСПОРТНЫЕ СИСТЕМЫ"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 xml:space="preserve"> подлежит прекращению, в связи с недоказанностью обстоятельств, на основании которых были вынесены обжалуемые акты (п.3 ч.1 ст.30.7 КРФоАП).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>Указанная позиция также подтверждается практикой Второго кассационного суда общей юрисдикции: постановление от 19 мая 2021 года № 16-3311/2021; постановление от 20 апреля 2021 № 16-3264/2021; постановление от 27 апреля 2021 № 16-3230/20214; постановление от 30 июня 2021 № 16-5686/2021; постановление от 21 апреля 2021 № 16-3315/21.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 xml:space="preserve">На основании изложенного, руководствуясь ст. 30.6, 30.7, 30.8 Кодекса РФ об административных правонарушениях, суд 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ab/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ab/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ab/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ab/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ab/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 xml:space="preserve"> Р Е Ш И Л:</w:t>
      </w:r>
    </w:p>
    <w:p>
      <w:pPr>
        <w:spacing w:before="0" w:after="0"/>
        <w:ind w:firstLine="567"/>
        <w:jc w:val="both"/>
        <w:rPr>
          <w:sz w:val="28"/>
          <w:szCs w:val="28"/>
        </w:rPr>
      </w:pP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 xml:space="preserve">Жалобу заявителя удовлетворить. </w:t>
      </w:r>
    </w:p>
    <w:p>
      <w:pPr>
        <w:spacing w:before="0" w:after="0"/>
        <w:ind w:firstLine="54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 xml:space="preserve">Постановление 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 xml:space="preserve">должностного лица 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>ГКУ АМПП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 xml:space="preserve"> от 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>7 мая 2025 года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>№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>0355431010125050701000597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 xml:space="preserve"> по 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 xml:space="preserve">ч. 2 ст. 8.14 КоАП </w:t>
      </w:r>
      <w:r>
        <w:rPr>
          <w:rStyle w:val="cat-Addressgrp-0rplc-15"/>
          <w:rFonts w:ascii="Times New Roman" w:eastAsia="Times New Roman" w:hAnsi="Times New Roman" w:cs="Times New Roman"/>
          <w:sz w:val="28"/>
          <w:szCs w:val="28"/>
          <w:highlight w:val="none"/>
        </w:rPr>
        <w:t>адрес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 xml:space="preserve"> в отношении 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>"ОБЩЕСТВО С ОГРАНИЧЕННОЙ ОТВЕТСТВЕННОСТЬЮ "НОВЫЕ ТРАНСПОРТНЫЕ СИСТЕМЫ"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 xml:space="preserve">, - отменить, производство по делу об 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 xml:space="preserve">административном правонарушении в отношении 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>"ОБЩЕСТВО С ОГРАНИЧЕННОЙ ОТВЕТСТВЕННОСТЬЮ "НОВЫЕ ТРАНСПОРТНЫЕ СИСТЕМЫ"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 xml:space="preserve"> прекратить, на основании пункта 3 части 1 статьи 30.7 КРФоАП, в связи с недоказанностью обстоятельств, на основании которых было вынесено постановление по делу об административном правонарушении.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>Решение суда может быть обжаловано в Московский городской суд в течение 10 суток.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 xml:space="preserve"> </w:t>
      </w:r>
    </w:p>
    <w:p>
      <w:pPr>
        <w:spacing w:before="0" w:after="0"/>
        <w:ind w:firstLine="567"/>
        <w:jc w:val="both"/>
        <w:rPr>
          <w:sz w:val="28"/>
          <w:szCs w:val="28"/>
        </w:rPr>
      </w:pPr>
    </w:p>
    <w:p>
      <w:pPr>
        <w:spacing w:before="0" w:after="0"/>
        <w:jc w:val="both"/>
        <w:rPr>
          <w:sz w:val="28"/>
          <w:szCs w:val="28"/>
        </w:rPr>
      </w:pPr>
    </w:p>
    <w:p>
      <w:pPr>
        <w:spacing w:before="0" w:after="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>Судья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 xml:space="preserve">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>Ю.Е. Кинашева</w:t>
      </w:r>
    </w:p>
    <w:sectPr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cat-Addressgrp-0rplc-0">
    <w:name w:val="cat-Address grp-0 rplc-0"/>
    <w:basedOn w:val="DefaultParagraphFont"/>
  </w:style>
  <w:style w:type="character" w:customStyle="1" w:styleId="cat-Addressgrp-1rplc-1">
    <w:name w:val="cat-Address grp-1 rplc-1"/>
    <w:basedOn w:val="DefaultParagraphFont"/>
  </w:style>
  <w:style w:type="character" w:customStyle="1" w:styleId="cat-Addressgrp-0rplc-3">
    <w:name w:val="cat-Address grp-0 rplc-3"/>
    <w:basedOn w:val="DefaultParagraphFont"/>
  </w:style>
  <w:style w:type="character" w:customStyle="1" w:styleId="cat-Addressgrp-1rplc-4">
    <w:name w:val="cat-Address grp-1 rplc-4"/>
    <w:basedOn w:val="DefaultParagraphFont"/>
  </w:style>
  <w:style w:type="character" w:customStyle="1" w:styleId="cat-Sumgrp-5rplc-5">
    <w:name w:val="cat-Sum grp-5 rplc-5"/>
    <w:basedOn w:val="DefaultParagraphFont"/>
  </w:style>
  <w:style w:type="character" w:customStyle="1" w:styleId="cat-Addressgrp-0rplc-6">
    <w:name w:val="cat-Address grp-0 rplc-6"/>
    <w:basedOn w:val="DefaultParagraphFont"/>
  </w:style>
  <w:style w:type="character" w:customStyle="1" w:styleId="cat-Addressgrp-1rplc-7">
    <w:name w:val="cat-Address grp-1 rplc-7"/>
    <w:basedOn w:val="DefaultParagraphFont"/>
  </w:style>
  <w:style w:type="character" w:customStyle="1" w:styleId="cat-Addressgrp-1rplc-8">
    <w:name w:val="cat-Address grp-1 rplc-8"/>
    <w:basedOn w:val="DefaultParagraphFont"/>
  </w:style>
  <w:style w:type="character" w:customStyle="1" w:styleId="cat-Addressgrp-1rplc-9">
    <w:name w:val="cat-Address grp-1 rplc-9"/>
    <w:basedOn w:val="DefaultParagraphFont"/>
  </w:style>
  <w:style w:type="character" w:customStyle="1" w:styleId="cat-Addressgrp-2rplc-10">
    <w:name w:val="cat-Address grp-2 rplc-10"/>
    <w:basedOn w:val="DefaultParagraphFont"/>
  </w:style>
  <w:style w:type="character" w:customStyle="1" w:styleId="cat-Addressgrp-0rplc-11">
    <w:name w:val="cat-Address grp-0 rplc-11"/>
    <w:basedOn w:val="DefaultParagraphFont"/>
  </w:style>
  <w:style w:type="character" w:customStyle="1" w:styleId="cat-Addressgrp-1rplc-12">
    <w:name w:val="cat-Address grp-1 rplc-12"/>
    <w:basedOn w:val="DefaultParagraphFont"/>
  </w:style>
  <w:style w:type="character" w:customStyle="1" w:styleId="cat-Addressgrp-0rplc-13">
    <w:name w:val="cat-Address grp-0 rplc-13"/>
    <w:basedOn w:val="DefaultParagraphFont"/>
  </w:style>
  <w:style w:type="character" w:customStyle="1" w:styleId="cat-Addressgrp-0rplc-14">
    <w:name w:val="cat-Address grp-0 rplc-14"/>
    <w:basedOn w:val="DefaultParagraphFont"/>
  </w:style>
  <w:style w:type="character" w:customStyle="1" w:styleId="cat-Addressgrp-0rplc-15">
    <w:name w:val="cat-Address grp-0 rplc-15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